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FAA81" w14:textId="2D94030A" w:rsidR="00E77D00" w:rsidRPr="00E77D00" w:rsidRDefault="00E77D00" w:rsidP="00E77D00">
      <w:r>
        <w:rPr>
          <w:lang w:val="en-US"/>
        </w:rPr>
        <w:t xml:space="preserve">                        COMMENTS ON </w:t>
      </w:r>
      <w:r w:rsidRPr="00E77D00">
        <w:rPr>
          <w:b/>
          <w:bCs/>
        </w:rPr>
        <w:t>Indian Accounting Standard (Ind AS) 119,</w:t>
      </w:r>
    </w:p>
    <w:p w14:paraId="40DCC82B" w14:textId="352651DA" w:rsidR="00E77D00" w:rsidRDefault="00E77D00" w:rsidP="00E77D00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</w:t>
      </w:r>
      <w:r w:rsidRPr="00E77D00">
        <w:rPr>
          <w:b/>
          <w:bCs/>
          <w:i/>
          <w:iCs/>
        </w:rPr>
        <w:t>Subsidiaries without Public Accountability: Disclosures</w:t>
      </w:r>
    </w:p>
    <w:p w14:paraId="5C4C2B63" w14:textId="77777777" w:rsidR="00E77D00" w:rsidRDefault="00E77D00" w:rsidP="00E77D00">
      <w:pPr>
        <w:rPr>
          <w:b/>
          <w:bCs/>
          <w:i/>
          <w:iCs/>
        </w:rPr>
      </w:pPr>
    </w:p>
    <w:p w14:paraId="5B3F29CC" w14:textId="77777777" w:rsidR="00E77D00" w:rsidRDefault="00E77D00" w:rsidP="00E77D00">
      <w:pPr>
        <w:rPr>
          <w:b/>
          <w:bCs/>
          <w:i/>
          <w:iCs/>
        </w:rPr>
      </w:pPr>
    </w:p>
    <w:p w14:paraId="498442A3" w14:textId="77777777" w:rsidR="00E77D00" w:rsidRDefault="00E77D00" w:rsidP="00E77D00">
      <w:pPr>
        <w:rPr>
          <w:b/>
          <w:bCs/>
          <w:i/>
          <w:iCs/>
        </w:rPr>
      </w:pPr>
    </w:p>
    <w:p w14:paraId="2AFE3452" w14:textId="77777777" w:rsidR="00E77D00" w:rsidRPr="00E77D00" w:rsidRDefault="00E77D00" w:rsidP="00E77D00">
      <w:r w:rsidRPr="00E77D00">
        <w:rPr>
          <w:b/>
          <w:bCs/>
        </w:rPr>
        <w:t>Items of income, expense, gains or losses</w:t>
      </w:r>
    </w:p>
    <w:p w14:paraId="23A719D5" w14:textId="77777777" w:rsidR="00E77D00" w:rsidRPr="00E77D00" w:rsidRDefault="00E77D00" w:rsidP="00E77D00">
      <w:r w:rsidRPr="00E77D00">
        <w:t>56B </w:t>
      </w:r>
    </w:p>
    <w:p w14:paraId="24F9CB17" w14:textId="36EE71E7" w:rsidR="00E77D00" w:rsidRDefault="00E77D00" w:rsidP="00E77D00">
      <w:r w:rsidRPr="00E77D00">
        <w:t>(c) the gross carrying amount of financial assets and the amortised cost of financial liabilities subject to</w:t>
      </w:r>
      <w:r>
        <w:t xml:space="preserve"> </w:t>
      </w:r>
      <w:r w:rsidRPr="00E77D00">
        <w:t>those contractual terms</w:t>
      </w:r>
      <w:r>
        <w:t xml:space="preserve"> </w:t>
      </w:r>
      <w:r w:rsidRPr="00E77D00">
        <w:rPr>
          <w:color w:val="ED7D31" w:themeColor="accent2"/>
        </w:rPr>
        <w:t>as per the IND AS guidelines</w:t>
      </w:r>
      <w:r>
        <w:t>.</w:t>
      </w:r>
    </w:p>
    <w:p w14:paraId="00C71760" w14:textId="77777777" w:rsidR="00E77D00" w:rsidRPr="00E77D00" w:rsidRDefault="00E77D00" w:rsidP="00E77D00"/>
    <w:p w14:paraId="1D2B36F3" w14:textId="77777777" w:rsidR="00E77D00" w:rsidRPr="00E77D00" w:rsidRDefault="00E77D00" w:rsidP="00E77D00"/>
    <w:p w14:paraId="171D76DE" w14:textId="77777777" w:rsidR="00E77D00" w:rsidRPr="00E77D00" w:rsidRDefault="00E77D00" w:rsidP="00E77D00">
      <w:r w:rsidRPr="00E77D00">
        <w:rPr>
          <w:b/>
          <w:bCs/>
        </w:rPr>
        <w:t>Hedge accounting</w:t>
      </w:r>
    </w:p>
    <w:p w14:paraId="36E9CEDD" w14:textId="77777777" w:rsidR="00E77D00" w:rsidRPr="00E77D00" w:rsidRDefault="00E77D00" w:rsidP="00E77D00">
      <w:r w:rsidRPr="00E77D00">
        <w:t>58 </w:t>
      </w:r>
    </w:p>
    <w:p w14:paraId="74EC62EB" w14:textId="04EACBC0" w:rsidR="00E77D00" w:rsidRPr="00E77D00" w:rsidRDefault="00E77D00" w:rsidP="00E77D00">
      <w:r w:rsidRPr="00E77D00">
        <w:t>(b)how the entity determines the economic relationship between the hedged item and the</w:t>
      </w:r>
    </w:p>
    <w:p w14:paraId="2B9BD087" w14:textId="2D310DFA" w:rsidR="00E77D00" w:rsidRPr="00E77D00" w:rsidRDefault="00E77D00" w:rsidP="00E77D00">
      <w:pPr>
        <w:rPr>
          <w:color w:val="ED7D31" w:themeColor="accent2"/>
        </w:rPr>
      </w:pPr>
      <w:r w:rsidRPr="00E77D00">
        <w:t>hedging instrument for the purpose of assessing hedge effectiveness</w:t>
      </w:r>
      <w:r>
        <w:t xml:space="preserve"> </w:t>
      </w:r>
      <w:r w:rsidRPr="00E77D00">
        <w:rPr>
          <w:color w:val="ED7D31" w:themeColor="accent2"/>
        </w:rPr>
        <w:t>and assessing the risk associated in respect of hedged items.</w:t>
      </w:r>
    </w:p>
    <w:p w14:paraId="3B94E3F9" w14:textId="70F7E106" w:rsidR="00E36E93" w:rsidRDefault="00E36E93">
      <w:pPr>
        <w:rPr>
          <w:color w:val="ED7D31" w:themeColor="accent2"/>
          <w:lang w:val="en-US"/>
        </w:rPr>
      </w:pPr>
    </w:p>
    <w:p w14:paraId="573EA306" w14:textId="77777777" w:rsidR="00E77D00" w:rsidRDefault="00E77D00">
      <w:pPr>
        <w:rPr>
          <w:color w:val="ED7D31" w:themeColor="accent2"/>
          <w:lang w:val="en-US"/>
        </w:rPr>
      </w:pPr>
    </w:p>
    <w:p w14:paraId="2CBDB4D6" w14:textId="77777777" w:rsidR="00E77D00" w:rsidRPr="00E77D00" w:rsidRDefault="00E77D00" w:rsidP="00E77D00">
      <w:r w:rsidRPr="00E77D00">
        <w:t>61 </w:t>
      </w:r>
    </w:p>
    <w:p w14:paraId="4952F74C" w14:textId="0F8D89FA" w:rsidR="00E77D00" w:rsidRPr="00E77D00" w:rsidRDefault="00E77D00" w:rsidP="00E77D00">
      <w:r w:rsidRPr="00E77D00">
        <w:t>(iv)the change in value of the hedged item used as the basis for recognising hedge</w:t>
      </w:r>
    </w:p>
    <w:p w14:paraId="0EE5E977" w14:textId="185BE389" w:rsidR="00E77D00" w:rsidRDefault="00E77D00" w:rsidP="00E77D00">
      <w:pPr>
        <w:rPr>
          <w:color w:val="ED7D31" w:themeColor="accent2"/>
        </w:rPr>
      </w:pPr>
      <w:r w:rsidRPr="00E77D00">
        <w:t>ineffectiveness for the perio</w:t>
      </w:r>
      <w:r>
        <w:t xml:space="preserve">d </w:t>
      </w:r>
      <w:r w:rsidRPr="00E77D00">
        <w:rPr>
          <w:color w:val="ED7D31" w:themeColor="accent2"/>
        </w:rPr>
        <w:t>and the effect on balance sheet head in which it is shown.</w:t>
      </w:r>
    </w:p>
    <w:p w14:paraId="3D2A7892" w14:textId="77777777" w:rsidR="00E77D00" w:rsidRDefault="00E77D00" w:rsidP="00E77D00">
      <w:pPr>
        <w:rPr>
          <w:color w:val="ED7D31" w:themeColor="accent2"/>
        </w:rPr>
      </w:pPr>
    </w:p>
    <w:p w14:paraId="0638E059" w14:textId="77777777" w:rsidR="00E77D00" w:rsidRDefault="00E77D00" w:rsidP="00E77D00">
      <w:pPr>
        <w:rPr>
          <w:color w:val="ED7D31" w:themeColor="accent2"/>
        </w:rPr>
      </w:pPr>
    </w:p>
    <w:p w14:paraId="5BD16EB3" w14:textId="77777777" w:rsidR="00E77D00" w:rsidRPr="00E77D00" w:rsidRDefault="00E77D00" w:rsidP="00E77D00">
      <w:r w:rsidRPr="00E77D00">
        <w:rPr>
          <w:b/>
          <w:bCs/>
        </w:rPr>
        <w:t>Nature and extent of risks arising from financial instruments</w:t>
      </w:r>
    </w:p>
    <w:p w14:paraId="341BAEFA" w14:textId="77777777" w:rsidR="00E77D00" w:rsidRDefault="00E77D00" w:rsidP="00E77D00">
      <w:r>
        <w:t>71-</w:t>
      </w:r>
    </w:p>
    <w:p w14:paraId="0AED2B76" w14:textId="6BC8240D" w:rsidR="00E77D00" w:rsidRPr="00E77D00" w:rsidRDefault="00E77D00" w:rsidP="00E77D00">
      <w:r w:rsidRPr="00E77D00">
        <w:t>An entity shall disclose, by credit risk rating grades, the gross carrying amount of financial assets and</w:t>
      </w:r>
      <w:r>
        <w:t xml:space="preserve"> </w:t>
      </w:r>
      <w:r w:rsidRPr="00E77D00">
        <w:t>the exposure to credit risk on loan commitments and financial guarantee contracts. An entity shall</w:t>
      </w:r>
      <w:r>
        <w:t xml:space="preserve"> </w:t>
      </w:r>
      <w:r w:rsidRPr="00E77D00">
        <w:t>provide this information separately for financial instruments:</w:t>
      </w:r>
    </w:p>
    <w:p w14:paraId="3B462BE4" w14:textId="636864B1" w:rsidR="00E77D00" w:rsidRPr="00E77D00" w:rsidRDefault="00E77D00" w:rsidP="00E77D00">
      <w:r w:rsidRPr="00E77D00">
        <w:t>(a) for which the loss allowance is measured at an amount equal to 12-month expected credit</w:t>
      </w:r>
      <w:r>
        <w:t xml:space="preserve"> </w:t>
      </w:r>
      <w:r w:rsidRPr="00E77D00">
        <w:t>losses;</w:t>
      </w:r>
    </w:p>
    <w:p w14:paraId="0E0E8D1E" w14:textId="77777777" w:rsidR="00E77D00" w:rsidRPr="00E77D00" w:rsidRDefault="00E77D00" w:rsidP="00E77D00">
      <w:r w:rsidRPr="00E77D00">
        <w:t>(b) for which the loss allowance is measured at an amount equal to lifetime expected credit</w:t>
      </w:r>
    </w:p>
    <w:p w14:paraId="0E0B3C7E" w14:textId="159F9181" w:rsidR="00E77D00" w:rsidRDefault="00E77D00" w:rsidP="00E77D00">
      <w:r w:rsidRPr="00E77D00">
        <w:t>losses and that are:</w:t>
      </w:r>
    </w:p>
    <w:p w14:paraId="78F2CC0B" w14:textId="36EBC5AD" w:rsidR="00E77D00" w:rsidRPr="00E77D00" w:rsidRDefault="00E77D00" w:rsidP="00E77D00">
      <w:r w:rsidRPr="00E77D00">
        <w:t>(</w:t>
      </w:r>
      <w:proofErr w:type="spellStart"/>
      <w:r w:rsidRPr="00E77D00">
        <w:t>i</w:t>
      </w:r>
      <w:proofErr w:type="spellEnd"/>
      <w:r w:rsidRPr="00E77D00">
        <w:t>) financial instruments for which credit risk has increased significantly since initial</w:t>
      </w:r>
    </w:p>
    <w:p w14:paraId="158AB8E9" w14:textId="04A340B7" w:rsidR="00E77D00" w:rsidRPr="00E77D00" w:rsidRDefault="00E77D00" w:rsidP="00E77D00">
      <w:pPr>
        <w:rPr>
          <w:color w:val="ED7D31" w:themeColor="accent2"/>
        </w:rPr>
      </w:pPr>
      <w:r w:rsidRPr="00E77D00">
        <w:t>recognition, but that are not credit-impaired financial asset</w:t>
      </w:r>
      <w:r>
        <w:t xml:space="preserve">s </w:t>
      </w:r>
      <w:r w:rsidRPr="00E77D00">
        <w:rPr>
          <w:color w:val="ED7D31" w:themeColor="accent2"/>
        </w:rPr>
        <w:t>and what will be its effect on balance sheet</w:t>
      </w:r>
    </w:p>
    <w:p w14:paraId="05E48050" w14:textId="77777777" w:rsidR="00E77D00" w:rsidRPr="00E77D00" w:rsidRDefault="00E77D00" w:rsidP="00E77D00">
      <w:r w:rsidRPr="00E77D00">
        <w:t>(ii) financial assets that are credit-impaired at the reporting date (but that are not purchased</w:t>
      </w:r>
    </w:p>
    <w:p w14:paraId="2A1B4359" w14:textId="199C0EF6" w:rsidR="00E77D00" w:rsidRPr="00E77D00" w:rsidRDefault="00E77D00" w:rsidP="00E77D00">
      <w:r w:rsidRPr="00E77D00">
        <w:t xml:space="preserve">or originated credit-impaired); </w:t>
      </w:r>
      <w:r>
        <w:rPr>
          <w:color w:val="ED7D31" w:themeColor="accent2"/>
        </w:rPr>
        <w:t xml:space="preserve">how entity plans to recognize it </w:t>
      </w:r>
      <w:r w:rsidRPr="00E77D00">
        <w:t>and</w:t>
      </w:r>
    </w:p>
    <w:p w14:paraId="72F36F57" w14:textId="77777777" w:rsidR="00E77D00" w:rsidRPr="00E77D00" w:rsidRDefault="00E77D00" w:rsidP="00E77D00">
      <w:r w:rsidRPr="00E77D00">
        <w:t>(iii) trade receivables, contract assets or lease receivables for which the loss allowances are</w:t>
      </w:r>
    </w:p>
    <w:p w14:paraId="00035DC9" w14:textId="77777777" w:rsidR="00E77D00" w:rsidRPr="00E77D00" w:rsidRDefault="00E77D00" w:rsidP="00E77D00">
      <w:r w:rsidRPr="00E77D00">
        <w:t>measured in accordance with paragraph 5.5.15 of Ind AS 109.</w:t>
      </w:r>
    </w:p>
    <w:p w14:paraId="1C31A131" w14:textId="51C1B86F" w:rsidR="00E77D00" w:rsidRPr="00E77D00" w:rsidRDefault="00E77D00" w:rsidP="00E77D00">
      <w:r w:rsidRPr="00E77D00">
        <w:t>(c) that are purchased or originated credit-impaired financial assets.</w:t>
      </w:r>
    </w:p>
    <w:p w14:paraId="4F724DB8" w14:textId="77777777" w:rsidR="00E77D00" w:rsidRPr="00E77D00" w:rsidRDefault="00E77D00" w:rsidP="00E77D00"/>
    <w:p w14:paraId="5935FCC4" w14:textId="77777777" w:rsidR="00E77D00" w:rsidRDefault="00E77D00">
      <w:pPr>
        <w:rPr>
          <w:color w:val="ED7D31" w:themeColor="accent2"/>
          <w:lang w:val="en-US"/>
        </w:rPr>
      </w:pPr>
    </w:p>
    <w:p w14:paraId="1B8853DA" w14:textId="0DD94EA7" w:rsidR="00E77D00" w:rsidRDefault="00E77D0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NAME-CA AKSHAY BHATIA</w:t>
      </w:r>
    </w:p>
    <w:p w14:paraId="14D5E7BE" w14:textId="58041B76" w:rsidR="00E77D00" w:rsidRDefault="00E77D0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M. NO -579540</w:t>
      </w:r>
    </w:p>
    <w:p w14:paraId="45E528EF" w14:textId="78E04BCB" w:rsidR="00E77D00" w:rsidRPr="00E77D00" w:rsidRDefault="00E77D0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MOBILE NO.-8728940100</w:t>
      </w:r>
    </w:p>
    <w:sectPr w:rsidR="00E77D00" w:rsidRPr="00E77D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D00"/>
    <w:rsid w:val="00694ABF"/>
    <w:rsid w:val="00A974BF"/>
    <w:rsid w:val="00B07243"/>
    <w:rsid w:val="00E36E93"/>
    <w:rsid w:val="00E7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95CB49"/>
  <w15:chartTrackingRefBased/>
  <w15:docId w15:val="{60AC86CD-0309-1047-B75A-35806CFE2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D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D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D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D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D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D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D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D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D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D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D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D0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D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D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D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D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D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D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2025-12-17T12:52:00Z</dcterms:created>
  <dcterms:modified xsi:type="dcterms:W3CDTF">2025-12-17T13:13:00Z</dcterms:modified>
</cp:coreProperties>
</file>